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059F2E5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7339B8">
        <w:rPr>
          <w:noProof w:val="0"/>
          <w:sz w:val="24"/>
          <w:szCs w:val="24"/>
        </w:rPr>
        <w:t>20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91295F">
        <w:rPr>
          <w:bCs/>
          <w:noProof w:val="0"/>
          <w:sz w:val="24"/>
          <w:szCs w:val="24"/>
        </w:rPr>
        <w:t>23</w:t>
      </w:r>
      <w:r w:rsidR="00A906E5">
        <w:rPr>
          <w:bCs/>
          <w:noProof w:val="0"/>
          <w:sz w:val="24"/>
          <w:szCs w:val="24"/>
        </w:rPr>
        <w:t>2587</w:t>
      </w:r>
    </w:p>
    <w:p w14:paraId="26EC66FE" w14:textId="03673419" w:rsidR="00CD4C7B" w:rsidRPr="003139CE" w:rsidRDefault="007339B8" w:rsidP="00CD4C7B">
      <w:pPr>
        <w:pStyle w:val="Header"/>
        <w:tabs>
          <w:tab w:val="right" w:pos="9639"/>
        </w:tabs>
        <w:rPr>
          <w:bCs/>
          <w:noProof w:val="0"/>
          <w:sz w:val="24"/>
          <w:szCs w:val="24"/>
          <w:lang w:val="en-US"/>
        </w:rPr>
      </w:pPr>
      <w:r>
        <w:rPr>
          <w:rFonts w:cs="Arial"/>
          <w:sz w:val="24"/>
          <w:szCs w:val="24"/>
          <w:lang w:val="en-US"/>
        </w:rPr>
        <w:t>Incheon, Korea</w:t>
      </w:r>
      <w:r w:rsidRPr="00A15EDA">
        <w:rPr>
          <w:rFonts w:cs="Arial"/>
          <w:sz w:val="24"/>
          <w:szCs w:val="24"/>
          <w:lang w:val="en-US"/>
        </w:rPr>
        <w:t xml:space="preserve">, </w:t>
      </w:r>
      <w:r>
        <w:rPr>
          <w:rFonts w:cs="Arial"/>
          <w:sz w:val="24"/>
          <w:szCs w:val="24"/>
          <w:lang w:val="en-US"/>
        </w:rPr>
        <w:t>22</w:t>
      </w:r>
      <w:r w:rsidRPr="00A15EDA">
        <w:rPr>
          <w:rFonts w:cs="Arial"/>
          <w:sz w:val="24"/>
          <w:szCs w:val="24"/>
          <w:lang w:val="en-US"/>
        </w:rPr>
        <w:t xml:space="preserve"> – 26 </w:t>
      </w:r>
      <w:r>
        <w:rPr>
          <w:rFonts w:cs="Arial"/>
          <w:sz w:val="24"/>
          <w:szCs w:val="24"/>
          <w:lang w:val="en-US"/>
        </w:rPr>
        <w:t>May</w:t>
      </w:r>
      <w:r w:rsidR="003139CE" w:rsidRPr="003139CE">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6FFBB2B9"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714FEC">
        <w:rPr>
          <w:rFonts w:cs="Arial"/>
          <w:b/>
          <w:bCs/>
          <w:sz w:val="24"/>
          <w:lang w:val="en-US" w:eastAsia="ja-JP"/>
        </w:rPr>
        <w:t>10.2.</w:t>
      </w:r>
      <w:r w:rsidR="00570D53">
        <w:rPr>
          <w:rFonts w:cs="Arial"/>
          <w:b/>
          <w:bCs/>
          <w:sz w:val="24"/>
          <w:lang w:val="en-US" w:eastAsia="ja-JP"/>
        </w:rPr>
        <w:t>3</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4A13E1E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7CA6">
        <w:rPr>
          <w:rFonts w:ascii="Arial" w:hAnsi="Arial" w:cs="Arial"/>
          <w:b/>
          <w:bCs/>
          <w:sz w:val="24"/>
        </w:rPr>
        <w:t>Further discussion on RACH optimization</w:t>
      </w:r>
    </w:p>
    <w:p w14:paraId="6A393A4E" w14:textId="6A370A8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D7CA6">
        <w:rPr>
          <w:rFonts w:ascii="Arial" w:hAnsi="Arial" w:cs="Arial"/>
          <w:b/>
          <w:bCs/>
          <w:sz w:val="24"/>
        </w:rPr>
        <w:t>Discussion</w:t>
      </w:r>
    </w:p>
    <w:p w14:paraId="307EAE02" w14:textId="77777777" w:rsidR="00CD4C7B" w:rsidRPr="006E13D1" w:rsidRDefault="00CD4C7B" w:rsidP="00CD4C7B">
      <w:pPr>
        <w:pStyle w:val="Heading1"/>
      </w:pPr>
      <w:r w:rsidRPr="006E13D1">
        <w:t>1</w:t>
      </w:r>
      <w:r w:rsidRPr="006E13D1">
        <w:tab/>
      </w:r>
      <w:r w:rsidR="0056573F">
        <w:t>Introduction</w:t>
      </w:r>
    </w:p>
    <w:p w14:paraId="4F113EDE" w14:textId="4D026FAA" w:rsidR="004D7CA6" w:rsidRDefault="004D7CA6" w:rsidP="004D7CA6">
      <w:r>
        <w:t xml:space="preserve">1) </w:t>
      </w:r>
      <w:r>
        <w:t>In RAN3#119 meeting, the following options are listed as the additional RA report mechanism to facilitate the network to identify the RA configuration that is related to the RA Report:</w:t>
      </w:r>
    </w:p>
    <w:p w14:paraId="63A59A85" w14:textId="77777777" w:rsidR="004D7CA6" w:rsidRPr="009A4CEB" w:rsidRDefault="004D7CA6" w:rsidP="004D7CA6">
      <w:pPr>
        <w:rPr>
          <w:rFonts w:ascii="Calibri" w:eastAsia="DengXian" w:hAnsi="Calibri" w:cs="Calibri"/>
          <w:b/>
          <w:color w:val="0000FF"/>
          <w:sz w:val="18"/>
          <w:szCs w:val="24"/>
        </w:rPr>
      </w:pPr>
      <w:r w:rsidRPr="009A4CEB">
        <w:rPr>
          <w:rFonts w:ascii="Calibri" w:eastAsia="DengXian" w:hAnsi="Calibri" w:cs="Calibri"/>
          <w:b/>
          <w:color w:val="0000FF"/>
          <w:sz w:val="18"/>
          <w:szCs w:val="24"/>
        </w:rPr>
        <w:t>Opt1: Signal the feature priority</w:t>
      </w:r>
    </w:p>
    <w:p w14:paraId="6325D248" w14:textId="77777777" w:rsidR="004D7CA6" w:rsidRPr="009A4CEB" w:rsidRDefault="004D7CA6" w:rsidP="004D7CA6">
      <w:pPr>
        <w:rPr>
          <w:rFonts w:ascii="Calibri" w:eastAsia="DengXian" w:hAnsi="Calibri" w:cs="Calibri"/>
          <w:b/>
          <w:color w:val="0000FF"/>
          <w:sz w:val="18"/>
          <w:szCs w:val="24"/>
        </w:rPr>
      </w:pPr>
      <w:r w:rsidRPr="009A4CEB">
        <w:rPr>
          <w:rFonts w:ascii="Calibri" w:eastAsia="DengXian" w:hAnsi="Calibri" w:cs="Calibri"/>
          <w:b/>
          <w:color w:val="0000FF"/>
          <w:sz w:val="18"/>
          <w:szCs w:val="24"/>
        </w:rPr>
        <w:t>Opt2: Signal the RACH partition configuration information</w:t>
      </w:r>
    </w:p>
    <w:p w14:paraId="3D00F890" w14:textId="77777777" w:rsidR="004D7CA6" w:rsidRPr="009A4CEB" w:rsidRDefault="004D7CA6" w:rsidP="004D7CA6">
      <w:pPr>
        <w:rPr>
          <w:rFonts w:ascii="Calibri" w:eastAsia="DengXian" w:hAnsi="Calibri" w:cs="Calibri"/>
          <w:b/>
          <w:color w:val="0000FF"/>
          <w:sz w:val="18"/>
          <w:szCs w:val="24"/>
        </w:rPr>
      </w:pPr>
      <w:r w:rsidRPr="009A4CEB">
        <w:rPr>
          <w:rFonts w:ascii="Calibri" w:eastAsia="DengXian" w:hAnsi="Calibri" w:cs="Calibri"/>
          <w:b/>
          <w:color w:val="0000FF"/>
          <w:sz w:val="18"/>
          <w:szCs w:val="24"/>
        </w:rPr>
        <w:t>Opt3: Signal the time between RACH access that led to the generation of a RACH Report and reporting of the RACH Report to the NG-RAN</w:t>
      </w:r>
    </w:p>
    <w:p w14:paraId="694C6F12" w14:textId="77777777" w:rsidR="004D7CA6" w:rsidRPr="009A4CEB" w:rsidRDefault="004D7CA6" w:rsidP="004D7CA6">
      <w:pPr>
        <w:rPr>
          <w:rFonts w:ascii="Calibri" w:eastAsia="DengXian" w:hAnsi="Calibri" w:cs="Calibri"/>
          <w:b/>
          <w:color w:val="0000FF"/>
          <w:sz w:val="18"/>
          <w:szCs w:val="24"/>
        </w:rPr>
      </w:pPr>
      <w:r w:rsidRPr="009A4CEB">
        <w:rPr>
          <w:rFonts w:ascii="Calibri" w:eastAsia="DengXian" w:hAnsi="Calibri" w:cs="Calibri"/>
          <w:b/>
          <w:color w:val="0000FF"/>
          <w:sz w:val="18"/>
          <w:szCs w:val="24"/>
        </w:rPr>
        <w:t>Opt4: The network controls the UE to report RA information</w:t>
      </w:r>
    </w:p>
    <w:p w14:paraId="344DFFAC" w14:textId="56FC00FA" w:rsidR="004D7CA6" w:rsidRDefault="004D7CA6" w:rsidP="004D7CA6">
      <w:r>
        <w:t xml:space="preserve">The discussion on different options </w:t>
      </w:r>
      <w:r w:rsidR="00EB6975">
        <w:t xml:space="preserve">was not </w:t>
      </w:r>
      <w:r w:rsidR="00CC489F">
        <w:t>concluded</w:t>
      </w:r>
      <w:r w:rsidR="00CC489F">
        <w:t xml:space="preserve"> </w:t>
      </w:r>
      <w:r w:rsidR="00EB6975">
        <w:t>in RAN3#119-bis meeting and is to be discussed in this meeting</w:t>
      </w:r>
      <w:r>
        <w:t>. This paper discusses the different options and proposes our view on the down-selection of options.</w:t>
      </w:r>
    </w:p>
    <w:p w14:paraId="371BBF8C" w14:textId="492CB6A6" w:rsidR="007D67E0" w:rsidRDefault="00EB6975" w:rsidP="004D7CA6">
      <w:r>
        <w:t>2</w:t>
      </w:r>
      <w:r w:rsidR="004D7CA6">
        <w:t xml:space="preserve">) </w:t>
      </w:r>
      <w:r w:rsidR="00B31EEC">
        <w:t>Following open point captured at RAN3#119bis-e, we provide discussion on support of RA report forwarding in the inter-MN case (</w:t>
      </w:r>
      <w:r w:rsidR="00B31EEC" w:rsidRPr="00633343">
        <w:rPr>
          <w:rFonts w:eastAsia="DengXian"/>
        </w:rPr>
        <w:t>(NG)EN-DC to (NG)EN-DC</w:t>
      </w:r>
      <w:r w:rsidR="00B31EEC">
        <w:t xml:space="preserve"> scenario) for E-UTRAN and NG-RAN.</w:t>
      </w:r>
    </w:p>
    <w:p w14:paraId="4E93D72F" w14:textId="77777777" w:rsidR="00CD4C7B" w:rsidRPr="006E13D1" w:rsidRDefault="00CD4C7B" w:rsidP="00CD4C7B">
      <w:pPr>
        <w:pStyle w:val="Heading1"/>
      </w:pPr>
      <w:r w:rsidRPr="006E13D1">
        <w:t>2</w:t>
      </w:r>
      <w:r w:rsidRPr="006E13D1">
        <w:tab/>
      </w:r>
      <w:r w:rsidR="00972FD7">
        <w:t>Discussion</w:t>
      </w:r>
    </w:p>
    <w:p w14:paraId="36F465FA" w14:textId="4907B753" w:rsidR="00FE1EA9" w:rsidRDefault="00EB6975" w:rsidP="00EB6975">
      <w:pPr>
        <w:pStyle w:val="Heading2"/>
      </w:pPr>
      <w:r>
        <w:t>2.1 RACH Partitioning</w:t>
      </w:r>
    </w:p>
    <w:p w14:paraId="5ED67300" w14:textId="20C6296D" w:rsidR="00EB6975" w:rsidRDefault="00EB6975" w:rsidP="00EB6975">
      <w:pPr>
        <w:pStyle w:val="00BodyText"/>
        <w:spacing w:after="0"/>
        <w:jc w:val="both"/>
        <w:rPr>
          <w:rFonts w:ascii="Times New Roman" w:hAnsi="Times New Roman"/>
          <w:sz w:val="20"/>
          <w:lang w:val="en-GB"/>
        </w:rPr>
      </w:pPr>
      <w:r>
        <w:rPr>
          <w:rFonts w:ascii="Times New Roman" w:hAnsi="Times New Roman"/>
          <w:sz w:val="20"/>
          <w:lang w:val="en-GB"/>
        </w:rPr>
        <w:t xml:space="preserve">RA Report as part of SON feature for RACH optimization can be used by the NW to identify </w:t>
      </w:r>
      <w:proofErr w:type="gramStart"/>
      <w:r>
        <w:rPr>
          <w:rFonts w:ascii="Times New Roman" w:hAnsi="Times New Roman"/>
          <w:sz w:val="20"/>
          <w:lang w:val="en-GB"/>
        </w:rPr>
        <w:t>e.g.</w:t>
      </w:r>
      <w:proofErr w:type="gramEnd"/>
      <w:r>
        <w:rPr>
          <w:rFonts w:ascii="Times New Roman" w:hAnsi="Times New Roman"/>
          <w:sz w:val="20"/>
          <w:lang w:val="en-GB"/>
        </w:rPr>
        <w:t xml:space="preserve"> the need of RA configuration. Therefore, the NW should be able to associate the RA report with the corresponding RA configuration. As UE can log maximum 8 RA entries in the RA report, the RA entries in the RA report may not always be related to the latest RA configuration. Especially when RACH partitioning feature is supported, the configuration of RACH partitioning may depend on real-time UE distribution that supports different features in the feature combination of RACH partitioning. </w:t>
      </w:r>
      <w:proofErr w:type="gramStart"/>
      <w:r>
        <w:rPr>
          <w:rFonts w:ascii="Times New Roman" w:hAnsi="Times New Roman"/>
          <w:sz w:val="20"/>
          <w:lang w:val="en-GB"/>
        </w:rPr>
        <w:t>Thus</w:t>
      </w:r>
      <w:proofErr w:type="gramEnd"/>
      <w:r>
        <w:rPr>
          <w:rFonts w:ascii="Times New Roman" w:hAnsi="Times New Roman"/>
          <w:sz w:val="20"/>
          <w:lang w:val="en-GB"/>
        </w:rPr>
        <w:t xml:space="preserve"> RA reconfiguration for different RA partitioning among the features may happen more often than in the earlier release when RA partitioning was not supported. In case of RA reconfiguration triggered in the NW </w:t>
      </w:r>
      <w:proofErr w:type="gramStart"/>
      <w:r>
        <w:rPr>
          <w:rFonts w:ascii="Times New Roman" w:hAnsi="Times New Roman"/>
          <w:sz w:val="20"/>
          <w:lang w:val="en-GB"/>
        </w:rPr>
        <w:t>e.g.</w:t>
      </w:r>
      <w:proofErr w:type="gramEnd"/>
      <w:r>
        <w:rPr>
          <w:rFonts w:ascii="Times New Roman" w:hAnsi="Times New Roman"/>
          <w:sz w:val="20"/>
          <w:lang w:val="en-GB"/>
        </w:rPr>
        <w:t xml:space="preserve"> for RA partitioning, the RA report send by the UE may be related to the previous RA configuration. To facilitate the NW to identify which RA configuration the RA report from the UE is related to, RAN3 discussed the different options:</w:t>
      </w:r>
    </w:p>
    <w:p w14:paraId="6406A0FD" w14:textId="77777777" w:rsidR="00EB6975" w:rsidRDefault="00EB6975" w:rsidP="00EB6975">
      <w:pPr>
        <w:rPr>
          <w:rFonts w:ascii="Calibri" w:eastAsia="DengXian" w:hAnsi="Calibri" w:cs="Calibri"/>
          <w:b/>
          <w:color w:val="0000FF"/>
          <w:sz w:val="18"/>
          <w:szCs w:val="24"/>
        </w:rPr>
      </w:pPr>
    </w:p>
    <w:p w14:paraId="6D5AE984" w14:textId="77777777" w:rsidR="00EB6975" w:rsidRPr="009A4CEB" w:rsidRDefault="00EB6975" w:rsidP="00EB6975">
      <w:pPr>
        <w:rPr>
          <w:rFonts w:ascii="Calibri" w:eastAsia="DengXian" w:hAnsi="Calibri" w:cs="Calibri"/>
          <w:b/>
          <w:color w:val="0000FF"/>
          <w:sz w:val="18"/>
          <w:szCs w:val="24"/>
        </w:rPr>
      </w:pPr>
      <w:r w:rsidRPr="009A4CEB">
        <w:rPr>
          <w:rFonts w:ascii="Calibri" w:eastAsia="DengXian" w:hAnsi="Calibri" w:cs="Calibri"/>
          <w:b/>
          <w:color w:val="0000FF"/>
          <w:sz w:val="18"/>
          <w:szCs w:val="24"/>
        </w:rPr>
        <w:t>Opt1: Signal the feature priority</w:t>
      </w:r>
    </w:p>
    <w:p w14:paraId="53BD6476" w14:textId="77777777" w:rsidR="00EB6975" w:rsidRPr="009A4CEB" w:rsidRDefault="00EB6975" w:rsidP="00EB6975">
      <w:pPr>
        <w:rPr>
          <w:rFonts w:ascii="Calibri" w:eastAsia="DengXian" w:hAnsi="Calibri" w:cs="Calibri"/>
          <w:b/>
          <w:color w:val="0000FF"/>
          <w:sz w:val="18"/>
          <w:szCs w:val="24"/>
        </w:rPr>
      </w:pPr>
      <w:r w:rsidRPr="009A4CEB">
        <w:rPr>
          <w:rFonts w:ascii="Calibri" w:eastAsia="DengXian" w:hAnsi="Calibri" w:cs="Calibri"/>
          <w:b/>
          <w:color w:val="0000FF"/>
          <w:sz w:val="18"/>
          <w:szCs w:val="24"/>
        </w:rPr>
        <w:t>Opt2: Signal the RACH partition configuration information</w:t>
      </w:r>
    </w:p>
    <w:p w14:paraId="23C3F848" w14:textId="77777777" w:rsidR="00EB6975" w:rsidRPr="009A4CEB" w:rsidRDefault="00EB6975" w:rsidP="00EB6975">
      <w:pPr>
        <w:rPr>
          <w:rFonts w:ascii="Calibri" w:eastAsia="DengXian" w:hAnsi="Calibri" w:cs="Calibri"/>
          <w:b/>
          <w:color w:val="0000FF"/>
          <w:sz w:val="18"/>
          <w:szCs w:val="24"/>
        </w:rPr>
      </w:pPr>
      <w:r w:rsidRPr="009A4CEB">
        <w:rPr>
          <w:rFonts w:ascii="Calibri" w:eastAsia="DengXian" w:hAnsi="Calibri" w:cs="Calibri"/>
          <w:b/>
          <w:color w:val="0000FF"/>
          <w:sz w:val="18"/>
          <w:szCs w:val="24"/>
        </w:rPr>
        <w:t>Opt3: Signal the time between RACH access that led to the generation of a RACH Report and reporting of the RACH Report to the NG-RAN</w:t>
      </w:r>
    </w:p>
    <w:p w14:paraId="3018ADD6" w14:textId="77777777" w:rsidR="00EB6975" w:rsidRPr="009A4CEB" w:rsidRDefault="00EB6975" w:rsidP="00EB6975">
      <w:pPr>
        <w:rPr>
          <w:rFonts w:ascii="Calibri" w:eastAsia="DengXian" w:hAnsi="Calibri" w:cs="Calibri"/>
          <w:b/>
          <w:color w:val="0000FF"/>
          <w:sz w:val="18"/>
          <w:szCs w:val="24"/>
        </w:rPr>
      </w:pPr>
      <w:r w:rsidRPr="009A4CEB">
        <w:rPr>
          <w:rFonts w:ascii="Calibri" w:eastAsia="DengXian" w:hAnsi="Calibri" w:cs="Calibri"/>
          <w:b/>
          <w:color w:val="0000FF"/>
          <w:sz w:val="18"/>
          <w:szCs w:val="24"/>
        </w:rPr>
        <w:t>Opt4: The network controls the UE to report RA information</w:t>
      </w:r>
    </w:p>
    <w:p w14:paraId="3DD1AFC0" w14:textId="77777777" w:rsidR="00EB6975" w:rsidRDefault="00EB6975" w:rsidP="00EB6975">
      <w:pPr>
        <w:pStyle w:val="00BodyText"/>
        <w:spacing w:after="0"/>
        <w:jc w:val="both"/>
        <w:rPr>
          <w:rFonts w:ascii="Times New Roman" w:hAnsi="Times New Roman"/>
          <w:sz w:val="20"/>
          <w:lang w:val="en-GB"/>
        </w:rPr>
      </w:pPr>
      <w:r>
        <w:rPr>
          <w:rFonts w:ascii="Times New Roman" w:hAnsi="Times New Roman"/>
          <w:sz w:val="20"/>
          <w:lang w:val="en-GB"/>
        </w:rPr>
        <w:t xml:space="preserve">For opt1, RAN2 has agreed that the feature or feature combination that triggers the RA procedure and the used feature combination will be reported in RA report for RACH partitioning. The feature priority is also configured by the NW. It seems the feature priority signalled by the UE is the redundant information. </w:t>
      </w:r>
      <w:proofErr w:type="gramStart"/>
      <w:r>
        <w:rPr>
          <w:rFonts w:ascii="Times New Roman" w:hAnsi="Times New Roman"/>
          <w:sz w:val="20"/>
          <w:lang w:val="en-GB"/>
        </w:rPr>
        <w:t>Thus</w:t>
      </w:r>
      <w:proofErr w:type="gramEnd"/>
      <w:r>
        <w:rPr>
          <w:rFonts w:ascii="Times New Roman" w:hAnsi="Times New Roman"/>
          <w:sz w:val="20"/>
          <w:lang w:val="en-GB"/>
        </w:rPr>
        <w:t xml:space="preserve"> opt1 may not be needed.</w:t>
      </w:r>
    </w:p>
    <w:p w14:paraId="30503DC1" w14:textId="77777777" w:rsidR="00EB6975" w:rsidRDefault="00EB6975" w:rsidP="00EB6975">
      <w:pPr>
        <w:pStyle w:val="00BodyText"/>
        <w:spacing w:after="0"/>
        <w:jc w:val="both"/>
        <w:rPr>
          <w:rFonts w:ascii="Times New Roman" w:hAnsi="Times New Roman"/>
          <w:sz w:val="20"/>
          <w:lang w:val="en-GB"/>
        </w:rPr>
      </w:pPr>
    </w:p>
    <w:p w14:paraId="115DE943" w14:textId="77777777" w:rsidR="00EB6975" w:rsidRDefault="00EB6975" w:rsidP="00EB6975">
      <w:pPr>
        <w:pStyle w:val="00BodyText"/>
        <w:spacing w:after="0"/>
        <w:jc w:val="both"/>
        <w:rPr>
          <w:rFonts w:ascii="Times New Roman" w:hAnsi="Times New Roman"/>
          <w:sz w:val="20"/>
          <w:lang w:val="en-GB"/>
        </w:rPr>
      </w:pPr>
      <w:r>
        <w:rPr>
          <w:rFonts w:ascii="Times New Roman" w:hAnsi="Times New Roman"/>
          <w:sz w:val="20"/>
          <w:lang w:val="en-GB"/>
        </w:rPr>
        <w:t xml:space="preserve">For opt2, signal the RA partitioning configuration information can be used by the NW to identify which RA partitioning configuration the RA report is related to. The concern is to increase the </w:t>
      </w:r>
      <w:proofErr w:type="spellStart"/>
      <w:r>
        <w:rPr>
          <w:rFonts w:ascii="Times New Roman" w:hAnsi="Times New Roman"/>
          <w:sz w:val="20"/>
          <w:lang w:val="en-GB"/>
        </w:rPr>
        <w:t>signaling</w:t>
      </w:r>
      <w:proofErr w:type="spellEnd"/>
      <w:r>
        <w:rPr>
          <w:rFonts w:ascii="Times New Roman" w:hAnsi="Times New Roman"/>
          <w:sz w:val="20"/>
          <w:lang w:val="en-GB"/>
        </w:rPr>
        <w:t xml:space="preserve"> overhead on RA report by adding the RA partitioning configuration information in the report.</w:t>
      </w:r>
    </w:p>
    <w:p w14:paraId="5ACA6224" w14:textId="77777777" w:rsidR="00EB6975" w:rsidRDefault="00EB6975" w:rsidP="00EB6975">
      <w:pPr>
        <w:pStyle w:val="00BodyText"/>
        <w:spacing w:after="0"/>
        <w:jc w:val="both"/>
        <w:rPr>
          <w:rFonts w:ascii="Times New Roman" w:hAnsi="Times New Roman"/>
          <w:sz w:val="20"/>
          <w:lang w:val="en-GB"/>
        </w:rPr>
      </w:pPr>
    </w:p>
    <w:p w14:paraId="2123DEC4" w14:textId="77777777" w:rsidR="00EB6975" w:rsidRDefault="00EB6975" w:rsidP="00EB6975">
      <w:pPr>
        <w:pStyle w:val="00BodyText"/>
        <w:spacing w:after="0"/>
        <w:jc w:val="both"/>
        <w:rPr>
          <w:rFonts w:ascii="Times New Roman" w:hAnsi="Times New Roman"/>
          <w:sz w:val="20"/>
          <w:lang w:val="en-GB"/>
        </w:rPr>
      </w:pPr>
      <w:r>
        <w:rPr>
          <w:rFonts w:ascii="Times New Roman" w:hAnsi="Times New Roman"/>
          <w:sz w:val="20"/>
          <w:lang w:val="en-GB"/>
        </w:rPr>
        <w:t xml:space="preserve">For opt3, signal the time between RA access and reporting of corresponding RA report can also be used by the NW to identify the corresponding RA configuration that RA report is related to. The concern is about the timers that UE needs to maintain for each RA entry in the RA report. </w:t>
      </w:r>
    </w:p>
    <w:p w14:paraId="7825B6F4" w14:textId="77777777" w:rsidR="00EB6975" w:rsidRDefault="00EB6975" w:rsidP="00EB6975">
      <w:pPr>
        <w:pStyle w:val="00BodyText"/>
        <w:spacing w:after="0"/>
        <w:jc w:val="both"/>
        <w:rPr>
          <w:rFonts w:ascii="Times New Roman" w:hAnsi="Times New Roman"/>
          <w:sz w:val="20"/>
          <w:lang w:val="en-GB"/>
        </w:rPr>
      </w:pPr>
    </w:p>
    <w:p w14:paraId="59E89FDB" w14:textId="77777777" w:rsidR="00EB6975" w:rsidRDefault="00EB6975" w:rsidP="00EB6975">
      <w:pPr>
        <w:pStyle w:val="00BodyText"/>
        <w:spacing w:after="0"/>
        <w:jc w:val="both"/>
        <w:rPr>
          <w:rFonts w:ascii="Times New Roman" w:hAnsi="Times New Roman"/>
          <w:sz w:val="20"/>
          <w:lang w:val="en-GB"/>
        </w:rPr>
      </w:pPr>
      <w:r>
        <w:rPr>
          <w:rFonts w:ascii="Times New Roman" w:hAnsi="Times New Roman"/>
          <w:sz w:val="20"/>
          <w:lang w:val="en-GB"/>
        </w:rPr>
        <w:t xml:space="preserve">For opt4, when NW reconfigures the RA configuration </w:t>
      </w:r>
      <w:proofErr w:type="gramStart"/>
      <w:r>
        <w:rPr>
          <w:rFonts w:ascii="Times New Roman" w:hAnsi="Times New Roman"/>
          <w:sz w:val="20"/>
          <w:lang w:val="en-GB"/>
        </w:rPr>
        <w:t>e.g.</w:t>
      </w:r>
      <w:proofErr w:type="gramEnd"/>
      <w:r>
        <w:rPr>
          <w:rFonts w:ascii="Times New Roman" w:hAnsi="Times New Roman"/>
          <w:sz w:val="20"/>
          <w:lang w:val="en-GB"/>
        </w:rPr>
        <w:t xml:space="preserve"> as the outcome of SON feature for RACH optimization, the NW may not be interested in the RA report that is related to the previous or out-dated RA configuration. </w:t>
      </w:r>
      <w:proofErr w:type="gramStart"/>
      <w:r>
        <w:rPr>
          <w:rFonts w:ascii="Times New Roman" w:hAnsi="Times New Roman"/>
          <w:sz w:val="20"/>
          <w:lang w:val="en-GB"/>
        </w:rPr>
        <w:t>Thus</w:t>
      </w:r>
      <w:proofErr w:type="gramEnd"/>
      <w:r>
        <w:rPr>
          <w:rFonts w:ascii="Times New Roman" w:hAnsi="Times New Roman"/>
          <w:sz w:val="20"/>
          <w:lang w:val="en-GB"/>
        </w:rPr>
        <w:t xml:space="preserve"> NW can control the UE what RA report (e.g. that is related to the latest RA configuration or all RA report regardless which RA configuration) should be reported to the NW. If NW controls to report the RA report only related to the latest RA configuration, it can reduce the signalling overhead in opt2 or reduce the UE complexity on maintaining multiple timers in opt3. Therefore, we proposed:</w:t>
      </w:r>
    </w:p>
    <w:p w14:paraId="4C498015" w14:textId="77777777" w:rsidR="00EB6975" w:rsidRDefault="00EB6975" w:rsidP="00EB6975">
      <w:pPr>
        <w:pStyle w:val="00BodyText"/>
        <w:spacing w:after="0"/>
        <w:jc w:val="both"/>
        <w:rPr>
          <w:rFonts w:ascii="Times New Roman" w:hAnsi="Times New Roman"/>
          <w:sz w:val="20"/>
          <w:lang w:val="en-GB"/>
        </w:rPr>
      </w:pPr>
    </w:p>
    <w:p w14:paraId="3AC37235" w14:textId="771B4BC9" w:rsidR="00EB6975" w:rsidRPr="003F3159" w:rsidRDefault="00EB6975" w:rsidP="00EB6975">
      <w:pPr>
        <w:pStyle w:val="00BodyText"/>
        <w:spacing w:after="0"/>
        <w:jc w:val="both"/>
        <w:rPr>
          <w:rFonts w:ascii="Times New Roman" w:hAnsi="Times New Roman"/>
          <w:b/>
          <w:bCs/>
          <w:sz w:val="20"/>
          <w:lang w:val="en-GB"/>
        </w:rPr>
      </w:pPr>
      <w:r w:rsidRPr="003F3159">
        <w:rPr>
          <w:rFonts w:ascii="Times New Roman" w:hAnsi="Times New Roman"/>
          <w:b/>
          <w:bCs/>
          <w:sz w:val="20"/>
          <w:lang w:val="en-GB"/>
        </w:rPr>
        <w:t xml:space="preserve">Proposal </w:t>
      </w:r>
      <w:r>
        <w:rPr>
          <w:rFonts w:ascii="Times New Roman" w:hAnsi="Times New Roman"/>
          <w:b/>
          <w:bCs/>
          <w:sz w:val="20"/>
          <w:lang w:val="en-GB"/>
        </w:rPr>
        <w:t>1</w:t>
      </w:r>
      <w:r w:rsidRPr="003F3159">
        <w:rPr>
          <w:rFonts w:ascii="Times New Roman" w:hAnsi="Times New Roman"/>
          <w:b/>
          <w:bCs/>
          <w:sz w:val="20"/>
          <w:lang w:val="en-GB"/>
        </w:rPr>
        <w:t xml:space="preserve">: </w:t>
      </w:r>
      <w:r>
        <w:rPr>
          <w:rFonts w:ascii="Times New Roman" w:hAnsi="Times New Roman"/>
          <w:b/>
          <w:bCs/>
          <w:sz w:val="20"/>
          <w:lang w:val="en-GB"/>
        </w:rPr>
        <w:t>RAN3 to agree support Opt4 that NW can control and indicate to the UE which RA report (</w:t>
      </w:r>
      <w:proofErr w:type="gramStart"/>
      <w:r>
        <w:rPr>
          <w:rFonts w:ascii="Times New Roman" w:hAnsi="Times New Roman"/>
          <w:b/>
          <w:bCs/>
          <w:sz w:val="20"/>
          <w:lang w:val="en-GB"/>
        </w:rPr>
        <w:t>i.e.</w:t>
      </w:r>
      <w:proofErr w:type="gramEnd"/>
      <w:r>
        <w:rPr>
          <w:rFonts w:ascii="Times New Roman" w:hAnsi="Times New Roman"/>
          <w:b/>
          <w:bCs/>
          <w:sz w:val="20"/>
          <w:lang w:val="en-GB"/>
        </w:rPr>
        <w:t xml:space="preserve"> related to the latest RA configuration or all RA configurations) should be reported or not. Opt4 can be combined with Opt2 or Opt3 whichever RAN3 agrees to support.</w:t>
      </w:r>
    </w:p>
    <w:p w14:paraId="4810BEB2" w14:textId="5BE110BF" w:rsidR="00EB6975" w:rsidRDefault="00EB6975" w:rsidP="00EB6975"/>
    <w:p w14:paraId="644C64B9" w14:textId="1B37C1D5" w:rsidR="00EB6975" w:rsidRDefault="00EB6975" w:rsidP="00EB6975">
      <w:pPr>
        <w:pStyle w:val="Heading2"/>
      </w:pPr>
      <w:r>
        <w:t xml:space="preserve">2.2 RA report forwarding in </w:t>
      </w:r>
      <w:r w:rsidR="00B31EEC">
        <w:t>i</w:t>
      </w:r>
      <w:r>
        <w:t>nter-MN case</w:t>
      </w:r>
    </w:p>
    <w:p w14:paraId="5B051379" w14:textId="7B0CF491" w:rsidR="00EB6975" w:rsidRDefault="0070168B" w:rsidP="00EB6975">
      <w:r>
        <w:t>Out of the alternatives proposed by RAN2 in LS to RAN3 [1], RAN3#119bis-e agreed alternative 1 (</w:t>
      </w:r>
      <w:proofErr w:type="gramStart"/>
      <w:r>
        <w:t>reply</w:t>
      </w:r>
      <w:proofErr w:type="gramEnd"/>
      <w:r>
        <w:t xml:space="preserve"> LS to RAN2 in [2])</w:t>
      </w:r>
      <w:r w:rsidR="00161827">
        <w:t xml:space="preserve"> where multiple LTE-encoded P</w:t>
      </w:r>
      <w:proofErr w:type="spellStart"/>
      <w:r w:rsidR="00161827">
        <w:t>SCell</w:t>
      </w:r>
      <w:proofErr w:type="spellEnd"/>
      <w:r w:rsidR="00161827">
        <w:t xml:space="preserve"> identities are provided together with the NR-encoded </w:t>
      </w:r>
      <w:r w:rsidR="00161827" w:rsidRPr="00161827">
        <w:t>RA-</w:t>
      </w:r>
      <w:proofErr w:type="spellStart"/>
      <w:r w:rsidR="00161827" w:rsidRPr="00161827">
        <w:t>ReportList</w:t>
      </w:r>
      <w:proofErr w:type="spellEnd"/>
      <w:r w:rsidR="00161827">
        <w:t>:</w:t>
      </w:r>
    </w:p>
    <w:p w14:paraId="37EF9B48" w14:textId="77777777" w:rsidR="0070168B" w:rsidRDefault="0070168B" w:rsidP="0070168B">
      <w:pPr>
        <w:pStyle w:val="ListParagraph"/>
        <w:numPr>
          <w:ilvl w:val="0"/>
          <w:numId w:val="6"/>
        </w:numPr>
        <w:spacing w:after="0"/>
        <w:ind w:firstLineChars="0"/>
        <w:rPr>
          <w:rFonts w:eastAsiaTheme="minorEastAsia"/>
          <w:b/>
          <w:sz w:val="22"/>
          <w:szCs w:val="22"/>
          <w:lang w:eastAsia="zh-CN"/>
        </w:rPr>
      </w:pPr>
      <w:r>
        <w:rPr>
          <w:rFonts w:eastAsiaTheme="minorEastAsia"/>
          <w:b/>
          <w:sz w:val="22"/>
          <w:szCs w:val="22"/>
          <w:lang w:eastAsia="zh-CN"/>
        </w:rPr>
        <w:t xml:space="preserve">Alt 1: Includes unique </w:t>
      </w:r>
      <w:proofErr w:type="spellStart"/>
      <w:r>
        <w:rPr>
          <w:rFonts w:eastAsiaTheme="minorEastAsia"/>
          <w:b/>
          <w:sz w:val="22"/>
          <w:szCs w:val="22"/>
          <w:lang w:eastAsia="zh-CN"/>
        </w:rPr>
        <w:t>PSCell</w:t>
      </w:r>
      <w:proofErr w:type="spellEnd"/>
      <w:r>
        <w:rPr>
          <w:rFonts w:eastAsiaTheme="minorEastAsia"/>
          <w:b/>
          <w:sz w:val="22"/>
          <w:szCs w:val="22"/>
          <w:lang w:eastAsia="zh-CN"/>
        </w:rPr>
        <w:t xml:space="preserve"> identities, </w:t>
      </w:r>
      <w:proofErr w:type="gramStart"/>
      <w:r>
        <w:rPr>
          <w:rFonts w:eastAsiaTheme="minorEastAsia"/>
          <w:b/>
          <w:sz w:val="22"/>
          <w:szCs w:val="22"/>
          <w:lang w:eastAsia="zh-CN"/>
        </w:rPr>
        <w:t>i.e.</w:t>
      </w:r>
      <w:proofErr w:type="gramEnd"/>
      <w:r>
        <w:rPr>
          <w:rFonts w:eastAsiaTheme="minorEastAsia"/>
          <w:b/>
          <w:sz w:val="22"/>
          <w:szCs w:val="22"/>
          <w:lang w:eastAsia="zh-CN"/>
        </w:rPr>
        <w:t xml:space="preserve"> if a </w:t>
      </w:r>
      <w:proofErr w:type="spellStart"/>
      <w:r>
        <w:rPr>
          <w:rFonts w:eastAsiaTheme="minorEastAsia"/>
          <w:b/>
          <w:sz w:val="22"/>
          <w:szCs w:val="22"/>
          <w:lang w:eastAsia="zh-CN"/>
        </w:rPr>
        <w:t>PSCell</w:t>
      </w:r>
      <w:proofErr w:type="spellEnd"/>
      <w:r>
        <w:rPr>
          <w:rFonts w:eastAsiaTheme="minorEastAsia"/>
          <w:b/>
          <w:sz w:val="22"/>
          <w:szCs w:val="22"/>
          <w:lang w:eastAsia="zh-CN"/>
        </w:rPr>
        <w:t xml:space="preserve"> occurs more than once in NR </w:t>
      </w:r>
      <w:r>
        <w:rPr>
          <w:rFonts w:eastAsiaTheme="minorEastAsia"/>
          <w:b/>
          <w:i/>
          <w:sz w:val="22"/>
          <w:szCs w:val="22"/>
          <w:lang w:eastAsia="zh-CN"/>
        </w:rPr>
        <w:t>RA-</w:t>
      </w:r>
      <w:proofErr w:type="spellStart"/>
      <w:r>
        <w:rPr>
          <w:rFonts w:eastAsiaTheme="minorEastAsia"/>
          <w:b/>
          <w:i/>
          <w:sz w:val="22"/>
          <w:szCs w:val="22"/>
          <w:lang w:eastAsia="zh-CN"/>
        </w:rPr>
        <w:t>ReportList</w:t>
      </w:r>
      <w:proofErr w:type="spellEnd"/>
      <w:r>
        <w:rPr>
          <w:rFonts w:eastAsiaTheme="minorEastAsia"/>
          <w:b/>
          <w:sz w:val="22"/>
          <w:szCs w:val="22"/>
          <w:lang w:eastAsia="zh-CN"/>
        </w:rPr>
        <w:t xml:space="preserve">, it is recorded only once in the list of </w:t>
      </w:r>
      <w:proofErr w:type="spellStart"/>
      <w:r>
        <w:rPr>
          <w:rFonts w:eastAsiaTheme="minorEastAsia"/>
          <w:b/>
          <w:sz w:val="22"/>
          <w:szCs w:val="22"/>
          <w:lang w:eastAsia="zh-CN"/>
        </w:rPr>
        <w:t>PSCell</w:t>
      </w:r>
      <w:proofErr w:type="spellEnd"/>
      <w:r>
        <w:rPr>
          <w:rFonts w:eastAsiaTheme="minorEastAsia"/>
          <w:b/>
          <w:sz w:val="22"/>
          <w:szCs w:val="22"/>
          <w:lang w:eastAsia="zh-CN"/>
        </w:rPr>
        <w:t xml:space="preserve"> identities</w:t>
      </w:r>
    </w:p>
    <w:p w14:paraId="489FDD0A" w14:textId="77777777" w:rsidR="0070168B" w:rsidRDefault="0070168B" w:rsidP="00EB6975"/>
    <w:p w14:paraId="1BFBC446" w14:textId="1C0C8D94" w:rsidR="0070168B" w:rsidRDefault="0070168B" w:rsidP="00EB6975">
      <w:r>
        <w:t xml:space="preserve">The main rationale for this choice was to support the </w:t>
      </w:r>
      <w:r w:rsidR="00161827">
        <w:t>case of EUTRAN where the</w:t>
      </w:r>
      <w:r>
        <w:t xml:space="preserve"> eNB </w:t>
      </w:r>
      <w:r w:rsidR="00161827">
        <w:t>retrieves a</w:t>
      </w:r>
      <w:r>
        <w:t xml:space="preserve"> list of RA </w:t>
      </w:r>
      <w:r w:rsidR="00161827">
        <w:t>r</w:t>
      </w:r>
      <w:r>
        <w:t xml:space="preserve">eports from the </w:t>
      </w:r>
      <w:r w:rsidR="00161827">
        <w:t>UE</w:t>
      </w:r>
      <w:r>
        <w:t xml:space="preserve"> </w:t>
      </w:r>
      <w:r w:rsidR="00161827">
        <w:t>containing RA reports from attempts in different en-</w:t>
      </w:r>
      <w:proofErr w:type="spellStart"/>
      <w:r w:rsidR="00161827">
        <w:t>gNBs</w:t>
      </w:r>
      <w:proofErr w:type="spellEnd"/>
      <w:r w:rsidR="00161827">
        <w:t xml:space="preserve">. In this case RA reports would be lost if just a single LTE-encoded </w:t>
      </w:r>
      <w:proofErr w:type="spellStart"/>
      <w:r w:rsidR="00161827">
        <w:t>PSCell</w:t>
      </w:r>
      <w:proofErr w:type="spellEnd"/>
      <w:r w:rsidR="00161827">
        <w:t xml:space="preserve"> identity is provided, because the single en-gNB to which the eNB could report the RA-</w:t>
      </w:r>
      <w:proofErr w:type="spellStart"/>
      <w:r w:rsidR="00161827">
        <w:t>ReportList</w:t>
      </w:r>
      <w:proofErr w:type="spellEnd"/>
      <w:r w:rsidR="00161827">
        <w:t xml:space="preserve"> would not be able to further forward the information to other en-</w:t>
      </w:r>
      <w:proofErr w:type="spellStart"/>
      <w:r w:rsidR="00161827">
        <w:t>gNBs</w:t>
      </w:r>
      <w:proofErr w:type="spellEnd"/>
      <w:r w:rsidR="00161827">
        <w:t xml:space="preserve"> (there is no X2 connection between en-</w:t>
      </w:r>
      <w:proofErr w:type="spellStart"/>
      <w:r w:rsidR="00161827">
        <w:t>gNBs</w:t>
      </w:r>
      <w:proofErr w:type="spellEnd"/>
      <w:r w:rsidR="00161827">
        <w:t>).</w:t>
      </w:r>
      <w:r w:rsidR="00AC3F6A">
        <w:t xml:space="preserve"> And </w:t>
      </w:r>
      <w:r w:rsidR="00161827">
        <w:t>with the report of multiple</w:t>
      </w:r>
      <w:r w:rsidR="00AC3F6A">
        <w:t xml:space="preserve"> </w:t>
      </w:r>
      <w:proofErr w:type="spellStart"/>
      <w:r w:rsidR="00AC3F6A">
        <w:t>PSCell</w:t>
      </w:r>
      <w:proofErr w:type="spellEnd"/>
      <w:r w:rsidR="00AC3F6A">
        <w:t xml:space="preserve"> ids, the eNB may forward the report also to other concerned en-</w:t>
      </w:r>
      <w:proofErr w:type="spellStart"/>
      <w:r w:rsidR="00AC3F6A">
        <w:t>gNBs</w:t>
      </w:r>
      <w:proofErr w:type="spellEnd"/>
      <w:r w:rsidR="00AC3F6A">
        <w:t xml:space="preserve"> with which it has a direct X2 connection.</w:t>
      </w:r>
    </w:p>
    <w:p w14:paraId="473977BD" w14:textId="53A65923" w:rsidR="00AC3F6A" w:rsidRDefault="00161827" w:rsidP="00EB6975">
      <w:r>
        <w:t xml:space="preserve">Furthermore, it was </w:t>
      </w:r>
      <w:r w:rsidR="00AC3F6A">
        <w:t xml:space="preserve">additionally proposed at RAN3#119bis-e that the UE also reports </w:t>
      </w:r>
      <w:proofErr w:type="spellStart"/>
      <w:r w:rsidR="00AC3F6A">
        <w:t>PCell</w:t>
      </w:r>
      <w:proofErr w:type="spellEnd"/>
      <w:r w:rsidR="00AC3F6A">
        <w:t xml:space="preserve"> ids corresponding to the </w:t>
      </w:r>
      <w:proofErr w:type="spellStart"/>
      <w:r w:rsidR="00AC3F6A">
        <w:t>PSCell</w:t>
      </w:r>
      <w:proofErr w:type="spellEnd"/>
      <w:r w:rsidR="00AC3F6A">
        <w:t xml:space="preserve"> ids for support of the inter-MN scenario (</w:t>
      </w:r>
      <w:r w:rsidR="00AC3F6A" w:rsidRPr="00633343">
        <w:rPr>
          <w:rFonts w:eastAsia="DengXian"/>
        </w:rPr>
        <w:t>(NG)EN-DC to (NG)EN-DC</w:t>
      </w:r>
      <w:r w:rsidR="00AC3F6A">
        <w:t xml:space="preserve">). </w:t>
      </w:r>
      <w:proofErr w:type="gramStart"/>
      <w:r w:rsidR="00AC3F6A">
        <w:t>Still</w:t>
      </w:r>
      <w:proofErr w:type="gramEnd"/>
      <w:r w:rsidR="00AC3F6A">
        <w:t xml:space="preserve"> it can be noted that the eNB is aware NR cells connected to neighbour eNBs – this information is provided in the X2AP </w:t>
      </w:r>
      <w:r w:rsidR="00AC3F6A" w:rsidRPr="00AC3F6A">
        <w:rPr>
          <w:i/>
          <w:iCs/>
        </w:rPr>
        <w:t>NR Neighbour Information</w:t>
      </w:r>
      <w:r w:rsidR="00AC3F6A">
        <w:t xml:space="preserve"> IE. </w:t>
      </w:r>
      <w:r w:rsidR="00CA692E">
        <w:t xml:space="preserve">Similarly for NG-RAN, NG-RAN nodes are informed about neighbour’s neighbour information via similar IE. Inclusion of </w:t>
      </w:r>
      <w:proofErr w:type="spellStart"/>
      <w:r w:rsidR="00CA692E">
        <w:t>PCell</w:t>
      </w:r>
      <w:proofErr w:type="spellEnd"/>
      <w:r w:rsidR="00CA692E">
        <w:t xml:space="preserve"> ids together with the RA-</w:t>
      </w:r>
      <w:proofErr w:type="spellStart"/>
      <w:r w:rsidR="00CA692E">
        <w:t>ReportList</w:t>
      </w:r>
      <w:proofErr w:type="spellEnd"/>
      <w:r w:rsidR="00CA692E">
        <w:t xml:space="preserve"> would therefore only be useful if transfer of RA reports via the CN was supported. But similar to other companies we believe it would not be suitable to transfer RA reports via the CN, and there is therefore no need to include </w:t>
      </w:r>
      <w:proofErr w:type="spellStart"/>
      <w:r w:rsidR="00CA692E">
        <w:t>PCell</w:t>
      </w:r>
      <w:proofErr w:type="spellEnd"/>
      <w:r w:rsidR="00CA692E">
        <w:t xml:space="preserve"> ids together with the RA-</w:t>
      </w:r>
      <w:proofErr w:type="spellStart"/>
      <w:r w:rsidR="00CA692E">
        <w:t>ReportList</w:t>
      </w:r>
      <w:proofErr w:type="spellEnd"/>
      <w:r w:rsidR="00CA692E">
        <w:t>.</w:t>
      </w:r>
    </w:p>
    <w:p w14:paraId="402D6405" w14:textId="5B3314C1" w:rsidR="00CA692E" w:rsidRPr="00CA692E" w:rsidRDefault="00CA692E" w:rsidP="00EB6975">
      <w:pPr>
        <w:rPr>
          <w:b/>
          <w:bCs/>
        </w:rPr>
      </w:pPr>
      <w:r w:rsidRPr="00CA692E">
        <w:rPr>
          <w:b/>
          <w:bCs/>
        </w:rPr>
        <w:t>Proposal 2: N</w:t>
      </w:r>
      <w:r w:rsidRPr="00CA692E">
        <w:rPr>
          <w:b/>
          <w:bCs/>
        </w:rPr>
        <w:t xml:space="preserve">o need to include </w:t>
      </w:r>
      <w:proofErr w:type="spellStart"/>
      <w:r w:rsidRPr="00CA692E">
        <w:rPr>
          <w:b/>
          <w:bCs/>
        </w:rPr>
        <w:t>PCell</w:t>
      </w:r>
      <w:proofErr w:type="spellEnd"/>
      <w:r w:rsidRPr="00CA692E">
        <w:rPr>
          <w:b/>
          <w:bCs/>
        </w:rPr>
        <w:t xml:space="preserve"> ids together with the RA-</w:t>
      </w:r>
      <w:proofErr w:type="spellStart"/>
      <w:r w:rsidRPr="00CA692E">
        <w:rPr>
          <w:b/>
          <w:bCs/>
        </w:rPr>
        <w:t>ReportList</w:t>
      </w:r>
      <w:proofErr w:type="spellEnd"/>
      <w:r w:rsidRPr="00CA692E">
        <w:rPr>
          <w:b/>
          <w:bCs/>
        </w:rPr>
        <w:t xml:space="preserve">. </w:t>
      </w:r>
      <w:proofErr w:type="spellStart"/>
      <w:r w:rsidRPr="00CA692E">
        <w:rPr>
          <w:b/>
          <w:bCs/>
        </w:rPr>
        <w:t>PSCell</w:t>
      </w:r>
      <w:proofErr w:type="spellEnd"/>
      <w:r w:rsidRPr="00CA692E">
        <w:rPr>
          <w:b/>
          <w:bCs/>
        </w:rPr>
        <w:t xml:space="preserve"> ids are sufficient.</w:t>
      </w:r>
    </w:p>
    <w:p w14:paraId="7A80097A" w14:textId="3E4686B3" w:rsidR="00CA692E" w:rsidRDefault="00AC3F6A" w:rsidP="00EB6975">
      <w:r>
        <w:t>For E-UTRAN, the Access and Mobility Indication procedure is currently defined only from eNB to en-gNB</w:t>
      </w:r>
      <w:r w:rsidR="00CA692E">
        <w:t xml:space="preserve">. </w:t>
      </w:r>
      <w:proofErr w:type="gramStart"/>
      <w:r w:rsidR="00CA692E">
        <w:t>However</w:t>
      </w:r>
      <w:proofErr w:type="gramEnd"/>
      <w:r w:rsidR="00CA692E">
        <w:t xml:space="preserve"> it could be beneficial to allow this procedure also to be sent between eNBs for forwarding of the RA report in the mentioned inter-MN case. There is no such restriction in the NG-RAN, where it is also possible to set up </w:t>
      </w:r>
      <w:proofErr w:type="spellStart"/>
      <w:r w:rsidR="00CA692E">
        <w:t>Xn</w:t>
      </w:r>
      <w:proofErr w:type="spellEnd"/>
      <w:r w:rsidR="00CA692E">
        <w:t xml:space="preserve"> links between </w:t>
      </w:r>
      <w:proofErr w:type="spellStart"/>
      <w:r w:rsidR="00CA692E">
        <w:t>gNBs</w:t>
      </w:r>
      <w:proofErr w:type="spellEnd"/>
      <w:r w:rsidR="00CA692E">
        <w:t xml:space="preserve"> serving as SN.</w:t>
      </w:r>
    </w:p>
    <w:p w14:paraId="43A7283C" w14:textId="5A137EE5" w:rsidR="00161827" w:rsidRPr="00CA692E" w:rsidRDefault="00CA692E" w:rsidP="00EB6975">
      <w:pPr>
        <w:rPr>
          <w:b/>
          <w:bCs/>
        </w:rPr>
      </w:pPr>
      <w:r w:rsidRPr="00CA692E">
        <w:rPr>
          <w:b/>
          <w:bCs/>
        </w:rPr>
        <w:t xml:space="preserve">Proposal </w:t>
      </w:r>
      <w:r>
        <w:rPr>
          <w:b/>
          <w:bCs/>
        </w:rPr>
        <w:t>3</w:t>
      </w:r>
      <w:r w:rsidRPr="00CA692E">
        <w:rPr>
          <w:b/>
          <w:bCs/>
        </w:rPr>
        <w:t xml:space="preserve">: </w:t>
      </w:r>
      <w:r>
        <w:rPr>
          <w:b/>
          <w:bCs/>
        </w:rPr>
        <w:t>For E-UTRAN, a</w:t>
      </w:r>
      <w:r w:rsidRPr="00CA692E">
        <w:rPr>
          <w:b/>
          <w:bCs/>
        </w:rPr>
        <w:t xml:space="preserve">llow the Access and Mobility Indication procedure to be sent between eNBs for forwarding of </w:t>
      </w:r>
      <w:r w:rsidRPr="00CA692E">
        <w:rPr>
          <w:b/>
          <w:bCs/>
        </w:rPr>
        <w:t>RA reports.</w:t>
      </w:r>
    </w:p>
    <w:p w14:paraId="26302442" w14:textId="77777777" w:rsidR="00CD4C7B" w:rsidRPr="006E13D1" w:rsidRDefault="00972FD7" w:rsidP="00CD4C7B">
      <w:pPr>
        <w:pStyle w:val="Heading1"/>
      </w:pPr>
      <w:r>
        <w:t>3</w:t>
      </w:r>
      <w:r w:rsidR="00CD4C7B" w:rsidRPr="006E13D1">
        <w:tab/>
      </w:r>
      <w:r>
        <w:t>Conclusion</w:t>
      </w:r>
    </w:p>
    <w:p w14:paraId="1FEBCA66" w14:textId="49032B3D" w:rsidR="00CD4C7B" w:rsidRDefault="000F11A5" w:rsidP="00CD4C7B">
      <w:r>
        <w:t>We have made the following proposals:</w:t>
      </w:r>
    </w:p>
    <w:p w14:paraId="028F5FCE" w14:textId="7F2670B9" w:rsidR="00347992" w:rsidRDefault="00347992" w:rsidP="00347992">
      <w:pPr>
        <w:pStyle w:val="00BodyText"/>
        <w:spacing w:after="0"/>
        <w:jc w:val="both"/>
        <w:rPr>
          <w:rFonts w:ascii="Times New Roman" w:hAnsi="Times New Roman"/>
          <w:b/>
          <w:bCs/>
          <w:sz w:val="20"/>
          <w:lang w:val="en-GB"/>
        </w:rPr>
      </w:pPr>
      <w:r w:rsidRPr="003F3159">
        <w:rPr>
          <w:rFonts w:ascii="Times New Roman" w:hAnsi="Times New Roman"/>
          <w:b/>
          <w:bCs/>
          <w:sz w:val="20"/>
          <w:lang w:val="en-GB"/>
        </w:rPr>
        <w:lastRenderedPageBreak/>
        <w:t xml:space="preserve">Proposal </w:t>
      </w:r>
      <w:r>
        <w:rPr>
          <w:rFonts w:ascii="Times New Roman" w:hAnsi="Times New Roman"/>
          <w:b/>
          <w:bCs/>
          <w:sz w:val="20"/>
          <w:lang w:val="en-GB"/>
        </w:rPr>
        <w:t>1</w:t>
      </w:r>
      <w:r w:rsidRPr="003F3159">
        <w:rPr>
          <w:rFonts w:ascii="Times New Roman" w:hAnsi="Times New Roman"/>
          <w:b/>
          <w:bCs/>
          <w:sz w:val="20"/>
          <w:lang w:val="en-GB"/>
        </w:rPr>
        <w:t xml:space="preserve">: </w:t>
      </w:r>
      <w:r>
        <w:rPr>
          <w:rFonts w:ascii="Times New Roman" w:hAnsi="Times New Roman"/>
          <w:b/>
          <w:bCs/>
          <w:sz w:val="20"/>
          <w:lang w:val="en-GB"/>
        </w:rPr>
        <w:t>RAN3 to agree support Opt4 that NW can control and indicate to the UE which RA report (</w:t>
      </w:r>
      <w:proofErr w:type="gramStart"/>
      <w:r>
        <w:rPr>
          <w:rFonts w:ascii="Times New Roman" w:hAnsi="Times New Roman"/>
          <w:b/>
          <w:bCs/>
          <w:sz w:val="20"/>
          <w:lang w:val="en-GB"/>
        </w:rPr>
        <w:t>i.e.</w:t>
      </w:r>
      <w:proofErr w:type="gramEnd"/>
      <w:r>
        <w:rPr>
          <w:rFonts w:ascii="Times New Roman" w:hAnsi="Times New Roman"/>
          <w:b/>
          <w:bCs/>
          <w:sz w:val="20"/>
          <w:lang w:val="en-GB"/>
        </w:rPr>
        <w:t xml:space="preserve"> related to the latest RA configuration or all RA configurations) should be reported or not. Opt4 can be combined with Opt2 or Opt3 whichever RAN3 agrees to support.</w:t>
      </w:r>
    </w:p>
    <w:p w14:paraId="00BF5615" w14:textId="77777777" w:rsidR="00347992" w:rsidRPr="003F3159" w:rsidRDefault="00347992" w:rsidP="00347992">
      <w:pPr>
        <w:pStyle w:val="00BodyText"/>
        <w:spacing w:after="0"/>
        <w:jc w:val="both"/>
        <w:rPr>
          <w:rFonts w:ascii="Times New Roman" w:hAnsi="Times New Roman"/>
          <w:b/>
          <w:bCs/>
          <w:sz w:val="20"/>
          <w:lang w:val="en-GB"/>
        </w:rPr>
      </w:pPr>
    </w:p>
    <w:p w14:paraId="3EB1B635" w14:textId="77777777" w:rsidR="00347992" w:rsidRPr="00CA692E" w:rsidRDefault="00347992" w:rsidP="00347992">
      <w:pPr>
        <w:rPr>
          <w:b/>
          <w:bCs/>
        </w:rPr>
      </w:pPr>
      <w:r w:rsidRPr="00CA692E">
        <w:rPr>
          <w:b/>
          <w:bCs/>
        </w:rPr>
        <w:t xml:space="preserve">Proposal 2: No need to include </w:t>
      </w:r>
      <w:proofErr w:type="spellStart"/>
      <w:r w:rsidRPr="00CA692E">
        <w:rPr>
          <w:b/>
          <w:bCs/>
        </w:rPr>
        <w:t>PCell</w:t>
      </w:r>
      <w:proofErr w:type="spellEnd"/>
      <w:r w:rsidRPr="00CA692E">
        <w:rPr>
          <w:b/>
          <w:bCs/>
        </w:rPr>
        <w:t xml:space="preserve"> ids together with the RA-</w:t>
      </w:r>
      <w:proofErr w:type="spellStart"/>
      <w:r w:rsidRPr="00CA692E">
        <w:rPr>
          <w:b/>
          <w:bCs/>
        </w:rPr>
        <w:t>ReportList</w:t>
      </w:r>
      <w:proofErr w:type="spellEnd"/>
      <w:r w:rsidRPr="00CA692E">
        <w:rPr>
          <w:b/>
          <w:bCs/>
        </w:rPr>
        <w:t xml:space="preserve">. </w:t>
      </w:r>
      <w:proofErr w:type="spellStart"/>
      <w:r w:rsidRPr="00CA692E">
        <w:rPr>
          <w:b/>
          <w:bCs/>
        </w:rPr>
        <w:t>PSCell</w:t>
      </w:r>
      <w:proofErr w:type="spellEnd"/>
      <w:r w:rsidRPr="00CA692E">
        <w:rPr>
          <w:b/>
          <w:bCs/>
        </w:rPr>
        <w:t xml:space="preserve"> ids are sufficient.</w:t>
      </w:r>
    </w:p>
    <w:p w14:paraId="3B41F673" w14:textId="77777777" w:rsidR="00347992" w:rsidRPr="00CA692E" w:rsidRDefault="00347992" w:rsidP="00347992">
      <w:pPr>
        <w:rPr>
          <w:b/>
          <w:bCs/>
        </w:rPr>
      </w:pPr>
      <w:r w:rsidRPr="00CA692E">
        <w:rPr>
          <w:b/>
          <w:bCs/>
        </w:rPr>
        <w:t xml:space="preserve">Proposal </w:t>
      </w:r>
      <w:r>
        <w:rPr>
          <w:b/>
          <w:bCs/>
        </w:rPr>
        <w:t>3</w:t>
      </w:r>
      <w:r w:rsidRPr="00CA692E">
        <w:rPr>
          <w:b/>
          <w:bCs/>
        </w:rPr>
        <w:t xml:space="preserve">: </w:t>
      </w:r>
      <w:r>
        <w:rPr>
          <w:b/>
          <w:bCs/>
        </w:rPr>
        <w:t>For E-UTRAN, a</w:t>
      </w:r>
      <w:r w:rsidRPr="00CA692E">
        <w:rPr>
          <w:b/>
          <w:bCs/>
        </w:rPr>
        <w:t>llow the Access and Mobility Indication procedure to be sent between eNBs for forwarding of RA reports.</w:t>
      </w:r>
    </w:p>
    <w:p w14:paraId="19D7111C" w14:textId="0461919D" w:rsidR="00080512" w:rsidRDefault="00080512" w:rsidP="00CD4C7B"/>
    <w:p w14:paraId="7EA488BC" w14:textId="798EFFAB" w:rsidR="0070168B" w:rsidRPr="00633343" w:rsidRDefault="0070168B" w:rsidP="0070168B">
      <w:pPr>
        <w:pStyle w:val="Heading1"/>
      </w:pPr>
      <w:r w:rsidRPr="00633343">
        <w:t xml:space="preserve">4 </w:t>
      </w:r>
      <w:r>
        <w:tab/>
      </w:r>
      <w:r w:rsidRPr="00633343">
        <w:t>Reference</w:t>
      </w:r>
      <w:r>
        <w:t>s</w:t>
      </w:r>
    </w:p>
    <w:p w14:paraId="091E8897" w14:textId="62FEF211" w:rsidR="0070168B" w:rsidRPr="0070168B" w:rsidRDefault="0070168B" w:rsidP="0070168B">
      <w:pPr>
        <w:numPr>
          <w:ilvl w:val="0"/>
          <w:numId w:val="5"/>
        </w:numPr>
        <w:overflowPunct w:val="0"/>
        <w:autoSpaceDE w:val="0"/>
        <w:autoSpaceDN w:val="0"/>
        <w:adjustRightInd w:val="0"/>
        <w:spacing w:after="120"/>
        <w:jc w:val="both"/>
      </w:pPr>
      <w:bookmarkStart w:id="1" w:name="_Ref118120471"/>
      <w:r>
        <w:rPr>
          <w:lang w:val="en-US"/>
        </w:rPr>
        <w:t xml:space="preserve">R3-231112 - </w:t>
      </w:r>
      <w:r w:rsidRPr="00633343">
        <w:rPr>
          <w:lang w:val="x-none"/>
        </w:rPr>
        <w:t xml:space="preserve">R2-2302066, </w:t>
      </w:r>
      <w:bookmarkEnd w:id="1"/>
      <w:r w:rsidRPr="00633343">
        <w:rPr>
          <w:lang w:val="x-none"/>
        </w:rPr>
        <w:t xml:space="preserve">Reply LS on RACH enhancement for R18 SONMDT, </w:t>
      </w:r>
      <w:r w:rsidRPr="00633343">
        <w:rPr>
          <w:rFonts w:eastAsia="DengXian"/>
          <w:lang w:eastAsia="zh-CN"/>
        </w:rPr>
        <w:t>Source: RAN2, To: RAN3</w:t>
      </w:r>
    </w:p>
    <w:p w14:paraId="2DC40F52" w14:textId="16D880DA" w:rsidR="0070168B" w:rsidRPr="00595509" w:rsidRDefault="0070168B" w:rsidP="0070168B">
      <w:pPr>
        <w:numPr>
          <w:ilvl w:val="0"/>
          <w:numId w:val="5"/>
        </w:numPr>
        <w:overflowPunct w:val="0"/>
        <w:autoSpaceDE w:val="0"/>
        <w:autoSpaceDN w:val="0"/>
        <w:adjustRightInd w:val="0"/>
        <w:spacing w:after="120"/>
        <w:jc w:val="both"/>
      </w:pPr>
      <w:r>
        <w:rPr>
          <w:lang w:val="en-US"/>
        </w:rPr>
        <w:t xml:space="preserve">R3-232144, </w:t>
      </w:r>
      <w:r w:rsidRPr="00633343">
        <w:rPr>
          <w:lang w:val="x-none"/>
        </w:rPr>
        <w:t xml:space="preserve">Reply LS on RACH enhancement for R18 SONMDT, </w:t>
      </w:r>
      <w:r w:rsidRPr="00633343">
        <w:rPr>
          <w:rFonts w:eastAsia="DengXian"/>
          <w:lang w:eastAsia="zh-CN"/>
        </w:rPr>
        <w:t>Source: RAN</w:t>
      </w:r>
      <w:r>
        <w:rPr>
          <w:rFonts w:eastAsia="DengXian"/>
          <w:lang w:eastAsia="zh-CN"/>
        </w:rPr>
        <w:t>3</w:t>
      </w:r>
      <w:r w:rsidRPr="00633343">
        <w:rPr>
          <w:rFonts w:eastAsia="DengXian"/>
          <w:lang w:eastAsia="zh-CN"/>
        </w:rPr>
        <w:t>, To: RAN</w:t>
      </w:r>
      <w:r>
        <w:rPr>
          <w:rFonts w:eastAsia="DengXian"/>
          <w:lang w:eastAsia="zh-CN"/>
        </w:rPr>
        <w:t>2</w:t>
      </w:r>
    </w:p>
    <w:p w14:paraId="2E1BE171" w14:textId="77777777" w:rsidR="0070168B" w:rsidRPr="00CD4C7B" w:rsidRDefault="0070168B" w:rsidP="00CD4C7B"/>
    <w:sectPr w:rsidR="0070168B"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3F3A5" w14:textId="77777777" w:rsidR="00FD4BF8" w:rsidRDefault="00FD4BF8">
      <w:r>
        <w:separator/>
      </w:r>
    </w:p>
  </w:endnote>
  <w:endnote w:type="continuationSeparator" w:id="0">
    <w:p w14:paraId="27097BC2" w14:textId="77777777" w:rsidR="00FD4BF8" w:rsidRDefault="00FD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7C420" w14:textId="77777777" w:rsidR="00FD4BF8" w:rsidRDefault="00FD4BF8">
      <w:r>
        <w:separator/>
      </w:r>
    </w:p>
  </w:footnote>
  <w:footnote w:type="continuationSeparator" w:id="0">
    <w:p w14:paraId="058E8E79" w14:textId="77777777" w:rsidR="00FD4BF8" w:rsidRDefault="00FD4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7010806"/>
    <w:multiLevelType w:val="multilevel"/>
    <w:tmpl w:val="2701080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54869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2314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1736695">
    <w:abstractNumId w:val="1"/>
  </w:num>
  <w:num w:numId="4" w16cid:durableId="708845994">
    <w:abstractNumId w:val="4"/>
  </w:num>
  <w:num w:numId="5" w16cid:durableId="6464732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1845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46A29"/>
    <w:rsid w:val="0005563E"/>
    <w:rsid w:val="000610BB"/>
    <w:rsid w:val="000804F0"/>
    <w:rsid w:val="00080512"/>
    <w:rsid w:val="00080AEA"/>
    <w:rsid w:val="000841CB"/>
    <w:rsid w:val="000B10B9"/>
    <w:rsid w:val="000B7BCF"/>
    <w:rsid w:val="000C556D"/>
    <w:rsid w:val="000D58AB"/>
    <w:rsid w:val="000F11A5"/>
    <w:rsid w:val="00150867"/>
    <w:rsid w:val="001549DD"/>
    <w:rsid w:val="00161827"/>
    <w:rsid w:val="00175C7A"/>
    <w:rsid w:val="0017610D"/>
    <w:rsid w:val="00176134"/>
    <w:rsid w:val="00194CD0"/>
    <w:rsid w:val="001B5A2A"/>
    <w:rsid w:val="001B5D78"/>
    <w:rsid w:val="001C4281"/>
    <w:rsid w:val="001F168B"/>
    <w:rsid w:val="00200905"/>
    <w:rsid w:val="00207067"/>
    <w:rsid w:val="0022606D"/>
    <w:rsid w:val="00231672"/>
    <w:rsid w:val="0024054C"/>
    <w:rsid w:val="00241A86"/>
    <w:rsid w:val="002424FE"/>
    <w:rsid w:val="00243BC7"/>
    <w:rsid w:val="002747EC"/>
    <w:rsid w:val="002855BF"/>
    <w:rsid w:val="002A1810"/>
    <w:rsid w:val="002A26BC"/>
    <w:rsid w:val="002C2A88"/>
    <w:rsid w:val="002E1692"/>
    <w:rsid w:val="002E7D0D"/>
    <w:rsid w:val="002F0D22"/>
    <w:rsid w:val="003139CE"/>
    <w:rsid w:val="00316C0B"/>
    <w:rsid w:val="003172DC"/>
    <w:rsid w:val="00326069"/>
    <w:rsid w:val="00326DF1"/>
    <w:rsid w:val="003454FC"/>
    <w:rsid w:val="00347992"/>
    <w:rsid w:val="0035462D"/>
    <w:rsid w:val="0035783D"/>
    <w:rsid w:val="00385395"/>
    <w:rsid w:val="003B3FB3"/>
    <w:rsid w:val="003C4E37"/>
    <w:rsid w:val="003D173D"/>
    <w:rsid w:val="003D23D9"/>
    <w:rsid w:val="003E16BE"/>
    <w:rsid w:val="00400F31"/>
    <w:rsid w:val="00401855"/>
    <w:rsid w:val="00441308"/>
    <w:rsid w:val="004525BC"/>
    <w:rsid w:val="00464695"/>
    <w:rsid w:val="00473B42"/>
    <w:rsid w:val="004D3578"/>
    <w:rsid w:val="004D380D"/>
    <w:rsid w:val="004D3F58"/>
    <w:rsid w:val="004D5E47"/>
    <w:rsid w:val="004D78C4"/>
    <w:rsid w:val="004D7CA6"/>
    <w:rsid w:val="004E19EF"/>
    <w:rsid w:val="004E213A"/>
    <w:rsid w:val="005006CC"/>
    <w:rsid w:val="00503171"/>
    <w:rsid w:val="005153FE"/>
    <w:rsid w:val="005240A4"/>
    <w:rsid w:val="0052656C"/>
    <w:rsid w:val="00534DA0"/>
    <w:rsid w:val="00543E6C"/>
    <w:rsid w:val="00544635"/>
    <w:rsid w:val="005531F4"/>
    <w:rsid w:val="005564A7"/>
    <w:rsid w:val="00565087"/>
    <w:rsid w:val="0056573F"/>
    <w:rsid w:val="00570D53"/>
    <w:rsid w:val="00571CE2"/>
    <w:rsid w:val="00586A56"/>
    <w:rsid w:val="00590C01"/>
    <w:rsid w:val="005B1232"/>
    <w:rsid w:val="005B29DA"/>
    <w:rsid w:val="005D4274"/>
    <w:rsid w:val="00606DA9"/>
    <w:rsid w:val="00607D4D"/>
    <w:rsid w:val="00611566"/>
    <w:rsid w:val="00624384"/>
    <w:rsid w:val="00632C47"/>
    <w:rsid w:val="0064056C"/>
    <w:rsid w:val="00644ED7"/>
    <w:rsid w:val="00656E1E"/>
    <w:rsid w:val="006653AF"/>
    <w:rsid w:val="00684897"/>
    <w:rsid w:val="00690D9E"/>
    <w:rsid w:val="006C54B5"/>
    <w:rsid w:val="006D1088"/>
    <w:rsid w:val="006D1E24"/>
    <w:rsid w:val="006F231E"/>
    <w:rsid w:val="006F7AE5"/>
    <w:rsid w:val="007007FE"/>
    <w:rsid w:val="0070168B"/>
    <w:rsid w:val="00714FEC"/>
    <w:rsid w:val="00722ED6"/>
    <w:rsid w:val="007339B8"/>
    <w:rsid w:val="00734A5B"/>
    <w:rsid w:val="00744E76"/>
    <w:rsid w:val="007476DB"/>
    <w:rsid w:val="00757D40"/>
    <w:rsid w:val="007719B5"/>
    <w:rsid w:val="00774167"/>
    <w:rsid w:val="007776D1"/>
    <w:rsid w:val="00781F0F"/>
    <w:rsid w:val="00782139"/>
    <w:rsid w:val="007846A0"/>
    <w:rsid w:val="00784E85"/>
    <w:rsid w:val="0078727C"/>
    <w:rsid w:val="007923B6"/>
    <w:rsid w:val="00793C74"/>
    <w:rsid w:val="007C095F"/>
    <w:rsid w:val="007C3CE0"/>
    <w:rsid w:val="007C4EB1"/>
    <w:rsid w:val="007D67E0"/>
    <w:rsid w:val="008003B1"/>
    <w:rsid w:val="008028A4"/>
    <w:rsid w:val="00806520"/>
    <w:rsid w:val="00840916"/>
    <w:rsid w:val="008604EE"/>
    <w:rsid w:val="00861463"/>
    <w:rsid w:val="008768CA"/>
    <w:rsid w:val="00880559"/>
    <w:rsid w:val="00892842"/>
    <w:rsid w:val="008B0A52"/>
    <w:rsid w:val="0090271F"/>
    <w:rsid w:val="00903D8C"/>
    <w:rsid w:val="009113D5"/>
    <w:rsid w:val="0091295F"/>
    <w:rsid w:val="009133B6"/>
    <w:rsid w:val="00920BF9"/>
    <w:rsid w:val="009322F2"/>
    <w:rsid w:val="00942EC2"/>
    <w:rsid w:val="009435F2"/>
    <w:rsid w:val="00953801"/>
    <w:rsid w:val="0095633A"/>
    <w:rsid w:val="00961B32"/>
    <w:rsid w:val="00971683"/>
    <w:rsid w:val="00972FD7"/>
    <w:rsid w:val="00974BB0"/>
    <w:rsid w:val="009857AD"/>
    <w:rsid w:val="009A66FC"/>
    <w:rsid w:val="009B6D31"/>
    <w:rsid w:val="009C4D5C"/>
    <w:rsid w:val="009D0A28"/>
    <w:rsid w:val="009E0E57"/>
    <w:rsid w:val="009F27BB"/>
    <w:rsid w:val="009F3B54"/>
    <w:rsid w:val="00A10F02"/>
    <w:rsid w:val="00A53724"/>
    <w:rsid w:val="00A82346"/>
    <w:rsid w:val="00A8361A"/>
    <w:rsid w:val="00A906E5"/>
    <w:rsid w:val="00A9671C"/>
    <w:rsid w:val="00AC3F6A"/>
    <w:rsid w:val="00AE7345"/>
    <w:rsid w:val="00AF39A0"/>
    <w:rsid w:val="00AF78D5"/>
    <w:rsid w:val="00B014E4"/>
    <w:rsid w:val="00B12A11"/>
    <w:rsid w:val="00B15449"/>
    <w:rsid w:val="00B31EEC"/>
    <w:rsid w:val="00B46658"/>
    <w:rsid w:val="00B54C4B"/>
    <w:rsid w:val="00B95488"/>
    <w:rsid w:val="00B9781E"/>
    <w:rsid w:val="00BB0727"/>
    <w:rsid w:val="00BB4415"/>
    <w:rsid w:val="00BC6295"/>
    <w:rsid w:val="00BE3C1A"/>
    <w:rsid w:val="00BE72CE"/>
    <w:rsid w:val="00BF0636"/>
    <w:rsid w:val="00BF79F1"/>
    <w:rsid w:val="00C03035"/>
    <w:rsid w:val="00C07D2E"/>
    <w:rsid w:val="00C140AB"/>
    <w:rsid w:val="00C21DDD"/>
    <w:rsid w:val="00C27F25"/>
    <w:rsid w:val="00C33079"/>
    <w:rsid w:val="00C66142"/>
    <w:rsid w:val="00C66B56"/>
    <w:rsid w:val="00C67E53"/>
    <w:rsid w:val="00CA3D0C"/>
    <w:rsid w:val="00CA692E"/>
    <w:rsid w:val="00CB30AB"/>
    <w:rsid w:val="00CB5D24"/>
    <w:rsid w:val="00CB6887"/>
    <w:rsid w:val="00CC09E2"/>
    <w:rsid w:val="00CC373D"/>
    <w:rsid w:val="00CC489F"/>
    <w:rsid w:val="00CD449D"/>
    <w:rsid w:val="00CD4C7B"/>
    <w:rsid w:val="00D6137C"/>
    <w:rsid w:val="00D66328"/>
    <w:rsid w:val="00D70737"/>
    <w:rsid w:val="00D736C2"/>
    <w:rsid w:val="00D738D6"/>
    <w:rsid w:val="00D74ACC"/>
    <w:rsid w:val="00D8013B"/>
    <w:rsid w:val="00D80795"/>
    <w:rsid w:val="00D87E00"/>
    <w:rsid w:val="00D9134D"/>
    <w:rsid w:val="00D9267F"/>
    <w:rsid w:val="00DA7A03"/>
    <w:rsid w:val="00DB1818"/>
    <w:rsid w:val="00DC309B"/>
    <w:rsid w:val="00DC4DA2"/>
    <w:rsid w:val="00DE0C24"/>
    <w:rsid w:val="00DF26DC"/>
    <w:rsid w:val="00E07838"/>
    <w:rsid w:val="00E27FA9"/>
    <w:rsid w:val="00E43DEB"/>
    <w:rsid w:val="00E52AE7"/>
    <w:rsid w:val="00E539F6"/>
    <w:rsid w:val="00E62835"/>
    <w:rsid w:val="00E7255C"/>
    <w:rsid w:val="00E77645"/>
    <w:rsid w:val="00E852FF"/>
    <w:rsid w:val="00EA22F8"/>
    <w:rsid w:val="00EB6975"/>
    <w:rsid w:val="00EC4A25"/>
    <w:rsid w:val="00F006BA"/>
    <w:rsid w:val="00F025A2"/>
    <w:rsid w:val="00F04A62"/>
    <w:rsid w:val="00F17382"/>
    <w:rsid w:val="00F2026E"/>
    <w:rsid w:val="00F2210A"/>
    <w:rsid w:val="00F26A23"/>
    <w:rsid w:val="00F35EFC"/>
    <w:rsid w:val="00F37743"/>
    <w:rsid w:val="00F423EA"/>
    <w:rsid w:val="00F427C8"/>
    <w:rsid w:val="00F54A3D"/>
    <w:rsid w:val="00F653B8"/>
    <w:rsid w:val="00F743AE"/>
    <w:rsid w:val="00F76F8F"/>
    <w:rsid w:val="00F82374"/>
    <w:rsid w:val="00FA1266"/>
    <w:rsid w:val="00FA3A87"/>
    <w:rsid w:val="00FA512C"/>
    <w:rsid w:val="00FB2BEA"/>
    <w:rsid w:val="00FB2F48"/>
    <w:rsid w:val="00FC1192"/>
    <w:rsid w:val="00FD4BF8"/>
    <w:rsid w:val="00FE1EA9"/>
    <w:rsid w:val="00FE38C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ListParagraph3">
    <w:name w:val="List Paragraph3"/>
    <w:basedOn w:val="Normal"/>
    <w:rsid w:val="00714FEC"/>
    <w:pPr>
      <w:spacing w:before="100" w:beforeAutospacing="1"/>
      <w:ind w:left="720"/>
      <w:contextualSpacing/>
    </w:pPr>
    <w:rPr>
      <w:rFonts w:eastAsia="SimSun"/>
      <w:sz w:val="24"/>
      <w:szCs w:val="24"/>
      <w:lang w:val="en-US" w:eastAsia="zh-CN"/>
    </w:rPr>
  </w:style>
  <w:style w:type="character" w:customStyle="1" w:styleId="TALCar">
    <w:name w:val="TAL Car"/>
    <w:link w:val="TAL"/>
    <w:qFormat/>
    <w:rsid w:val="00080AEA"/>
    <w:rPr>
      <w:rFonts w:ascii="Arial" w:hAnsi="Arial"/>
      <w:sz w:val="18"/>
      <w:lang w:val="en-GB"/>
    </w:rPr>
  </w:style>
  <w:style w:type="character" w:customStyle="1" w:styleId="TAHCar">
    <w:name w:val="TAH Car"/>
    <w:link w:val="TAH"/>
    <w:qFormat/>
    <w:locked/>
    <w:rsid w:val="00080AEA"/>
    <w:rPr>
      <w:rFonts w:ascii="Arial" w:hAnsi="Arial"/>
      <w:b/>
      <w:sz w:val="18"/>
      <w:lang w:val="en-GB"/>
    </w:rPr>
  </w:style>
  <w:style w:type="paragraph" w:styleId="Revision">
    <w:name w:val="Revision"/>
    <w:hidden/>
    <w:uiPriority w:val="99"/>
    <w:semiHidden/>
    <w:rsid w:val="0091295F"/>
    <w:rPr>
      <w:lang w:val="en-GB"/>
    </w:rPr>
  </w:style>
  <w:style w:type="character" w:customStyle="1" w:styleId="TALChar">
    <w:name w:val="TAL Char"/>
    <w:qFormat/>
    <w:rsid w:val="009322F2"/>
    <w:rPr>
      <w:rFonts w:ascii="Arial" w:hAnsi="Arial"/>
      <w:sz w:val="18"/>
    </w:rPr>
  </w:style>
  <w:style w:type="character" w:customStyle="1" w:styleId="TAHChar">
    <w:name w:val="TAH Char"/>
    <w:qFormat/>
    <w:rsid w:val="009322F2"/>
    <w:rPr>
      <w:rFonts w:ascii="Arial" w:hAnsi="Arial"/>
      <w:b/>
      <w:sz w:val="18"/>
    </w:rPr>
  </w:style>
  <w:style w:type="paragraph" w:customStyle="1" w:styleId="Normal4">
    <w:name w:val="Normal4"/>
    <w:rsid w:val="0035783D"/>
    <w:pPr>
      <w:jc w:val="both"/>
    </w:pPr>
    <w:rPr>
      <w:rFonts w:ascii="Calibri" w:eastAsia="SimSun" w:hAnsi="Calibri" w:cs="Calibri"/>
      <w:kern w:val="2"/>
      <w:sz w:val="21"/>
      <w:szCs w:val="21"/>
      <w:lang w:eastAsia="zh-CN"/>
    </w:rPr>
  </w:style>
  <w:style w:type="character" w:styleId="CommentReference">
    <w:name w:val="annotation reference"/>
    <w:basedOn w:val="DefaultParagraphFont"/>
    <w:rsid w:val="004D7CA6"/>
    <w:rPr>
      <w:sz w:val="16"/>
      <w:szCs w:val="16"/>
    </w:rPr>
  </w:style>
  <w:style w:type="paragraph" w:styleId="CommentText">
    <w:name w:val="annotation text"/>
    <w:basedOn w:val="Normal"/>
    <w:link w:val="CommentTextChar"/>
    <w:rsid w:val="004D7CA6"/>
  </w:style>
  <w:style w:type="character" w:customStyle="1" w:styleId="CommentTextChar">
    <w:name w:val="Comment Text Char"/>
    <w:basedOn w:val="DefaultParagraphFont"/>
    <w:link w:val="CommentText"/>
    <w:rsid w:val="004D7CA6"/>
    <w:rPr>
      <w:lang w:val="en-GB"/>
    </w:rPr>
  </w:style>
  <w:style w:type="paragraph" w:styleId="CommentSubject">
    <w:name w:val="annotation subject"/>
    <w:basedOn w:val="CommentText"/>
    <w:next w:val="CommentText"/>
    <w:link w:val="CommentSubjectChar"/>
    <w:rsid w:val="004D7CA6"/>
    <w:rPr>
      <w:b/>
      <w:bCs/>
    </w:rPr>
  </w:style>
  <w:style w:type="character" w:customStyle="1" w:styleId="CommentSubjectChar">
    <w:name w:val="Comment Subject Char"/>
    <w:basedOn w:val="CommentTextChar"/>
    <w:link w:val="CommentSubject"/>
    <w:rsid w:val="004D7CA6"/>
    <w:rPr>
      <w:b/>
      <w:bCs/>
      <w:lang w:val="en-GB"/>
    </w:rPr>
  </w:style>
  <w:style w:type="paragraph" w:styleId="ListParagraph">
    <w:name w:val="List Paragraph"/>
    <w:basedOn w:val="Normal"/>
    <w:link w:val="ListParagraphChar"/>
    <w:uiPriority w:val="34"/>
    <w:qFormat/>
    <w:rsid w:val="0070168B"/>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qFormat/>
    <w:locked/>
    <w:rsid w:val="007016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5AIRPNAIUNRU-1156379521-3739</_dlc_DocId>
    <_dlc_DocIdUrl xmlns="71c5aaf6-e6ce-465b-b873-5148d2a4c105">
      <Url>https://nokia.sharepoint.com/sites/c5g/e2earch/_layouts/15/DocIdRedir.aspx?ID=5AIRPNAIUNRU-1156379521-3739</Url>
      <Description>5AIRPNAIUNRU-1156379521-3739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D8A4867-6AF4-48EB-8C66-A91221C82A23}">
  <ds:schemaRefs>
    <ds:schemaRef ds:uri="http://schemas.microsoft.com/sharepoint/events"/>
  </ds:schemaRefs>
</ds:datastoreItem>
</file>

<file path=customXml/itemProps2.xml><?xml version="1.0" encoding="utf-8"?>
<ds:datastoreItem xmlns:ds="http://schemas.openxmlformats.org/officeDocument/2006/customXml" ds:itemID="{0181821A-623A-4E49-BFA5-26EC209E1FB3}">
  <ds:schemaRefs>
    <ds:schemaRef ds:uri="http://schemas.microsoft.com/sharepoint/v3/contenttype/forms"/>
  </ds:schemaRefs>
</ds:datastoreItem>
</file>

<file path=customXml/itemProps3.xml><?xml version="1.0" encoding="utf-8"?>
<ds:datastoreItem xmlns:ds="http://schemas.openxmlformats.org/officeDocument/2006/customXml" ds:itemID="{6960A7DE-BFEF-4662-AB25-3B0DDAEB0B98}">
  <ds:schemaRefs>
    <ds:schemaRef ds:uri="http://schemas.openxmlformats.org/officeDocument/2006/bibliography"/>
  </ds:schemaRefs>
</ds:datastoreItem>
</file>

<file path=customXml/itemProps4.xml><?xml version="1.0" encoding="utf-8"?>
<ds:datastoreItem xmlns:ds="http://schemas.openxmlformats.org/officeDocument/2006/customXml" ds:itemID="{DFDFCD92-256E-41E6-B985-94EB6E4E0C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57E180B-042F-463B-A2A5-E6B4963F6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C7F50D-2A3F-411A-9A07-649E6973E29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64</TotalTime>
  <Pages>3</Pages>
  <Words>1107</Words>
  <Characters>6313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7</cp:revision>
  <dcterms:created xsi:type="dcterms:W3CDTF">2023-05-09T12:40:00Z</dcterms:created>
  <dcterms:modified xsi:type="dcterms:W3CDTF">2023-05-11T14:09:00Z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45a9c7aa-3d92-4584-8561-13c98a762a5c</vt:lpwstr>
  </property>
</Properties>
</file>